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177" w:rsidRPr="00B24177" w:rsidRDefault="00B24177" w:rsidP="00B24177">
      <w:pPr>
        <w:pStyle w:val="Heading2"/>
        <w:kinsoku w:val="0"/>
        <w:overflowPunct w:val="0"/>
        <w:spacing w:before="158"/>
        <w:ind w:left="103" w:right="103"/>
        <w:jc w:val="center"/>
        <w:rPr>
          <w:i w:val="0"/>
        </w:rPr>
      </w:pPr>
      <w:r w:rsidRPr="00B24177">
        <w:rPr>
          <w:i w:val="0"/>
        </w:rPr>
        <w:t>Immediate Jeopardy Template</w:t>
      </w:r>
    </w:p>
    <w:p w:rsidR="00B24177" w:rsidRPr="00B24177" w:rsidRDefault="00B24177" w:rsidP="00B24177">
      <w:pPr>
        <w:pStyle w:val="BodyText"/>
        <w:kinsoku w:val="0"/>
        <w:overflowPunct w:val="0"/>
        <w:spacing w:before="205"/>
        <w:ind w:left="120" w:right="135"/>
        <w:rPr>
          <w:b/>
          <w:bCs/>
          <w:i w:val="0"/>
        </w:rPr>
      </w:pPr>
      <w:r w:rsidRPr="00B24177">
        <w:rPr>
          <w:i w:val="0"/>
        </w:rPr>
        <w:t xml:space="preserve">Survey teams must use the Immediate Jeopardy (IJ) Template to document evidence of each component of IJ; and if IJ is confirmed, the IJ Template will be used to convey information to the entity. Any information presented on this template is subject to change and does not reflect an official finding against a Medicare provider or supplier. </w:t>
      </w:r>
      <w:r w:rsidRPr="00B24177">
        <w:rPr>
          <w:b/>
          <w:bCs/>
          <w:i w:val="0"/>
        </w:rPr>
        <w:t>Form CMS-2567 is the only form that contains official survey findings.</w:t>
      </w:r>
    </w:p>
    <w:p w:rsidR="00B24177" w:rsidRPr="00B24177" w:rsidRDefault="00B24177" w:rsidP="00B24177">
      <w:pPr>
        <w:pStyle w:val="BodyText"/>
        <w:kinsoku w:val="0"/>
        <w:overflowPunct w:val="0"/>
        <w:spacing w:before="6"/>
        <w:rPr>
          <w:b/>
          <w:bCs/>
          <w:i w:val="0"/>
          <w:sz w:val="23"/>
          <w:szCs w:val="23"/>
        </w:rPr>
      </w:pPr>
    </w:p>
    <w:p w:rsidR="00B24177" w:rsidRPr="00B24177" w:rsidRDefault="00B24177" w:rsidP="00B24177">
      <w:pPr>
        <w:pStyle w:val="BodyText"/>
        <w:kinsoku w:val="0"/>
        <w:overflowPunct w:val="0"/>
        <w:ind w:left="120" w:right="115"/>
        <w:jc w:val="both"/>
        <w:rPr>
          <w:i w:val="0"/>
        </w:rPr>
      </w:pPr>
      <w:r w:rsidRPr="00B24177">
        <w:rPr>
          <w:b/>
          <w:bCs/>
          <w:i w:val="0"/>
        </w:rPr>
        <w:t>Instructions</w:t>
      </w:r>
      <w:r w:rsidRPr="00B24177">
        <w:rPr>
          <w:i w:val="0"/>
        </w:rPr>
        <w:t>: The survey team must use evidence gathered from observations, interviews, and record reviews to carefully consider each component of IJ outlined in the left-hand column of this template. In order for IJ to exist, the survey team must answer “Yes” to all three components and provide a preliminary fact analysis in the right hand column to support their determination. If IJ is confirmed by the survey team and SA Supervisor, provide this IJ Template to the entity and note the date and time that it was provided at the top of p</w:t>
      </w:r>
      <w:r w:rsidRPr="00B24177">
        <w:rPr>
          <w:i w:val="0"/>
        </w:rPr>
        <w:t xml:space="preserve">age 2. Use one IJ template for </w:t>
      </w:r>
      <w:r w:rsidRPr="00B24177">
        <w:rPr>
          <w:i w:val="0"/>
        </w:rPr>
        <w:t>each tag being considered at IJ</w:t>
      </w:r>
      <w:r w:rsidRPr="00B24177">
        <w:rPr>
          <w:i w:val="0"/>
          <w:spacing w:val="-6"/>
        </w:rPr>
        <w:t xml:space="preserve"> </w:t>
      </w:r>
      <w:r w:rsidRPr="00B24177">
        <w:rPr>
          <w:i w:val="0"/>
        </w:rPr>
        <w:t>level.</w:t>
      </w:r>
    </w:p>
    <w:p w:rsidR="00B24177" w:rsidRPr="00B24177" w:rsidRDefault="00B24177" w:rsidP="00B24177">
      <w:pPr>
        <w:pStyle w:val="BodyText"/>
        <w:kinsoku w:val="0"/>
        <w:overflowPunct w:val="0"/>
        <w:spacing w:before="9"/>
        <w:rPr>
          <w:i w:val="0"/>
          <w:sz w:val="23"/>
          <w:szCs w:val="23"/>
        </w:rPr>
      </w:pPr>
    </w:p>
    <w:p w:rsidR="00B24177" w:rsidRPr="00B24177" w:rsidRDefault="00B24177" w:rsidP="00B24177">
      <w:pPr>
        <w:pStyle w:val="BodyText"/>
        <w:kinsoku w:val="0"/>
        <w:overflowPunct w:val="0"/>
        <w:ind w:left="120"/>
        <w:rPr>
          <w:i w:val="0"/>
        </w:rPr>
      </w:pPr>
      <w:r w:rsidRPr="00B24177">
        <w:rPr>
          <w:i w:val="0"/>
        </w:rPr>
        <w:t>For the purpose of completing this template, the following definitions apply:</w:t>
      </w:r>
    </w:p>
    <w:p w:rsidR="00B24177" w:rsidRPr="00B24177" w:rsidRDefault="00B24177" w:rsidP="00B24177">
      <w:pPr>
        <w:pStyle w:val="BodyText"/>
        <w:kinsoku w:val="0"/>
        <w:overflowPunct w:val="0"/>
        <w:rPr>
          <w:i w:val="0"/>
        </w:rPr>
      </w:pPr>
    </w:p>
    <w:p w:rsidR="00B24177" w:rsidRPr="00B24177" w:rsidRDefault="00B24177" w:rsidP="00B24177">
      <w:pPr>
        <w:pStyle w:val="BodyText"/>
        <w:kinsoku w:val="0"/>
        <w:overflowPunct w:val="0"/>
        <w:ind w:left="120" w:right="354"/>
        <w:rPr>
          <w:i w:val="0"/>
        </w:rPr>
      </w:pPr>
      <w:r w:rsidRPr="00B24177">
        <w:rPr>
          <w:b/>
          <w:bCs/>
          <w:i w:val="0"/>
        </w:rPr>
        <w:t xml:space="preserve">Likely/Likelihood </w:t>
      </w:r>
      <w:r w:rsidRPr="00B24177">
        <w:rPr>
          <w:i w:val="0"/>
        </w:rPr>
        <w:t xml:space="preserve">means the nature and/or extent of the identified noncompliance creates a </w:t>
      </w:r>
      <w:r w:rsidRPr="00B24177">
        <w:rPr>
          <w:i w:val="0"/>
          <w:u w:val="single"/>
        </w:rPr>
        <w:t xml:space="preserve">reasonable expectation </w:t>
      </w:r>
      <w:r w:rsidRPr="00B24177">
        <w:rPr>
          <w:i w:val="0"/>
        </w:rPr>
        <w:t xml:space="preserve">that an adverse outcome resulting in serious injury, harm, impairment, or death </w:t>
      </w:r>
      <w:r w:rsidRPr="00B24177">
        <w:rPr>
          <w:i w:val="0"/>
          <w:u w:val="single"/>
        </w:rPr>
        <w:t>will occur if not corrected</w:t>
      </w:r>
      <w:r w:rsidRPr="00B24177">
        <w:rPr>
          <w:i w:val="0"/>
        </w:rPr>
        <w:t>.</w:t>
      </w:r>
    </w:p>
    <w:p w:rsidR="00B24177" w:rsidRPr="00B24177" w:rsidRDefault="00B24177" w:rsidP="00B24177">
      <w:pPr>
        <w:pStyle w:val="BodyText"/>
        <w:kinsoku w:val="0"/>
        <w:overflowPunct w:val="0"/>
        <w:spacing w:before="2"/>
        <w:rPr>
          <w:i w:val="0"/>
          <w:sz w:val="16"/>
          <w:szCs w:val="16"/>
        </w:rPr>
      </w:pPr>
    </w:p>
    <w:p w:rsidR="00B24177" w:rsidRPr="00B24177" w:rsidRDefault="00B24177" w:rsidP="00B24177">
      <w:pPr>
        <w:pStyle w:val="BodyText"/>
        <w:kinsoku w:val="0"/>
        <w:overflowPunct w:val="0"/>
        <w:spacing w:before="90"/>
        <w:ind w:left="120" w:right="967"/>
        <w:rPr>
          <w:i w:val="0"/>
        </w:rPr>
      </w:pPr>
      <w:r w:rsidRPr="00B24177">
        <w:rPr>
          <w:b/>
          <w:bCs/>
          <w:i w:val="0"/>
        </w:rPr>
        <w:t xml:space="preserve">Noncompliance </w:t>
      </w:r>
      <w:r w:rsidRPr="00B24177">
        <w:rPr>
          <w:i w:val="0"/>
        </w:rPr>
        <w:t>means failure to meet one or more federal health, safety, and/or quality regulations.</w:t>
      </w:r>
    </w:p>
    <w:p w:rsidR="00B24177" w:rsidRPr="00B24177" w:rsidRDefault="00B24177" w:rsidP="00B24177">
      <w:pPr>
        <w:pStyle w:val="BodyText"/>
        <w:kinsoku w:val="0"/>
        <w:overflowPunct w:val="0"/>
        <w:rPr>
          <w:i w:val="0"/>
        </w:rPr>
      </w:pPr>
    </w:p>
    <w:p w:rsidR="00B24177" w:rsidRPr="00B24177" w:rsidRDefault="00B24177" w:rsidP="00B24177">
      <w:pPr>
        <w:pStyle w:val="BodyText"/>
        <w:kinsoku w:val="0"/>
        <w:overflowPunct w:val="0"/>
        <w:ind w:left="120" w:right="407"/>
        <w:rPr>
          <w:i w:val="0"/>
        </w:rPr>
      </w:pPr>
      <w:r w:rsidRPr="00B24177">
        <w:rPr>
          <w:b/>
          <w:bCs/>
          <w:i w:val="0"/>
        </w:rPr>
        <w:t xml:space="preserve">Recipient at Risk </w:t>
      </w:r>
      <w:r w:rsidRPr="00B24177">
        <w:rPr>
          <w:i w:val="0"/>
        </w:rPr>
        <w:t>is a recipient who, as a result of noncompliance, and in consideration of the recipient’s physical, mental, psychosocial or health needs, and/or vulnerabilities, is likely to experience a serious adverse outcome.</w:t>
      </w:r>
    </w:p>
    <w:p w:rsidR="00B24177" w:rsidRPr="00B24177" w:rsidRDefault="00B24177" w:rsidP="00B24177">
      <w:pPr>
        <w:pStyle w:val="BodyText"/>
        <w:kinsoku w:val="0"/>
        <w:overflowPunct w:val="0"/>
        <w:rPr>
          <w:i w:val="0"/>
        </w:rPr>
      </w:pPr>
    </w:p>
    <w:p w:rsidR="00B24177" w:rsidRPr="00B24177" w:rsidRDefault="00B24177" w:rsidP="00B24177">
      <w:pPr>
        <w:pStyle w:val="BodyText"/>
        <w:kinsoku w:val="0"/>
        <w:overflowPunct w:val="0"/>
        <w:ind w:left="120" w:right="325"/>
        <w:rPr>
          <w:i w:val="0"/>
        </w:rPr>
      </w:pPr>
      <w:r w:rsidRPr="00B24177">
        <w:rPr>
          <w:b/>
          <w:bCs/>
          <w:i w:val="0"/>
        </w:rPr>
        <w:t xml:space="preserve">Serious injury, serious harm, serious impairment or death </w:t>
      </w:r>
      <w:r w:rsidRPr="00B24177">
        <w:rPr>
          <w:i w:val="0"/>
        </w:rPr>
        <w:t>are adverse outcomes which result in, or are likely to result in:</w:t>
      </w:r>
    </w:p>
    <w:p w:rsidR="00B24177" w:rsidRPr="00B24177" w:rsidRDefault="00B24177" w:rsidP="00B24177">
      <w:pPr>
        <w:pStyle w:val="BodyText"/>
        <w:kinsoku w:val="0"/>
        <w:overflowPunct w:val="0"/>
        <w:spacing w:before="2"/>
        <w:rPr>
          <w:i w:val="0"/>
        </w:rPr>
      </w:pPr>
    </w:p>
    <w:p w:rsidR="00B24177" w:rsidRPr="00B24177" w:rsidRDefault="00B24177" w:rsidP="00B24177">
      <w:pPr>
        <w:pStyle w:val="ListParagraph"/>
        <w:numPr>
          <w:ilvl w:val="0"/>
          <w:numId w:val="1"/>
        </w:numPr>
        <w:tabs>
          <w:tab w:val="left" w:pos="840"/>
        </w:tabs>
        <w:kinsoku w:val="0"/>
        <w:overflowPunct w:val="0"/>
        <w:spacing w:line="293" w:lineRule="exact"/>
        <w:rPr>
          <w:iCs/>
        </w:rPr>
      </w:pPr>
      <w:r w:rsidRPr="00B24177">
        <w:rPr>
          <w:iCs/>
        </w:rPr>
        <w:t>death;</w:t>
      </w:r>
      <w:r w:rsidRPr="00B24177">
        <w:rPr>
          <w:iCs/>
          <w:spacing w:val="-2"/>
        </w:rPr>
        <w:t xml:space="preserve"> </w:t>
      </w:r>
      <w:r w:rsidRPr="00B24177">
        <w:rPr>
          <w:iCs/>
        </w:rPr>
        <w:t>or</w:t>
      </w:r>
    </w:p>
    <w:p w:rsidR="00B24177" w:rsidRPr="00B24177" w:rsidRDefault="00B24177" w:rsidP="00B24177">
      <w:pPr>
        <w:pStyle w:val="ListParagraph"/>
        <w:numPr>
          <w:ilvl w:val="0"/>
          <w:numId w:val="1"/>
        </w:numPr>
        <w:tabs>
          <w:tab w:val="left" w:pos="840"/>
        </w:tabs>
        <w:kinsoku w:val="0"/>
        <w:overflowPunct w:val="0"/>
        <w:ind w:right="364"/>
        <w:rPr>
          <w:iCs/>
        </w:rPr>
      </w:pPr>
      <w:r w:rsidRPr="00B24177">
        <w:rPr>
          <w:iCs/>
        </w:rPr>
        <w:t>a significant decline in physical, mental, or psychosocial functioning, (that is not solely due to the normal progression of a disease or aging process);</w:t>
      </w:r>
      <w:r w:rsidRPr="00B24177">
        <w:rPr>
          <w:iCs/>
          <w:spacing w:val="-10"/>
        </w:rPr>
        <w:t xml:space="preserve"> </w:t>
      </w:r>
      <w:r w:rsidRPr="00B24177">
        <w:rPr>
          <w:iCs/>
        </w:rPr>
        <w:t>or</w:t>
      </w:r>
    </w:p>
    <w:p w:rsidR="00B24177" w:rsidRPr="00B24177" w:rsidRDefault="00B24177" w:rsidP="00B24177">
      <w:pPr>
        <w:pStyle w:val="ListParagraph"/>
        <w:numPr>
          <w:ilvl w:val="0"/>
          <w:numId w:val="1"/>
        </w:numPr>
        <w:tabs>
          <w:tab w:val="left" w:pos="840"/>
        </w:tabs>
        <w:kinsoku w:val="0"/>
        <w:overflowPunct w:val="0"/>
        <w:spacing w:line="294" w:lineRule="exact"/>
        <w:rPr>
          <w:iCs/>
        </w:rPr>
      </w:pPr>
      <w:r w:rsidRPr="00B24177">
        <w:rPr>
          <w:iCs/>
        </w:rPr>
        <w:t>loss of limb, or disfigurement;</w:t>
      </w:r>
      <w:r w:rsidRPr="00B24177">
        <w:rPr>
          <w:iCs/>
          <w:spacing w:val="-8"/>
        </w:rPr>
        <w:t xml:space="preserve"> </w:t>
      </w:r>
      <w:r w:rsidRPr="00B24177">
        <w:rPr>
          <w:iCs/>
        </w:rPr>
        <w:t>or</w:t>
      </w:r>
    </w:p>
    <w:p w:rsidR="00B24177" w:rsidRPr="00B24177" w:rsidRDefault="00B24177" w:rsidP="00B24177">
      <w:pPr>
        <w:pStyle w:val="ListParagraph"/>
        <w:numPr>
          <w:ilvl w:val="0"/>
          <w:numId w:val="1"/>
        </w:numPr>
        <w:tabs>
          <w:tab w:val="left" w:pos="840"/>
        </w:tabs>
        <w:kinsoku w:val="0"/>
        <w:overflowPunct w:val="0"/>
        <w:spacing w:line="293" w:lineRule="exact"/>
        <w:rPr>
          <w:iCs/>
        </w:rPr>
      </w:pPr>
      <w:r w:rsidRPr="00B24177">
        <w:rPr>
          <w:iCs/>
        </w:rPr>
        <w:t>avoidable pain that is excruciating, and more than transient;</w:t>
      </w:r>
      <w:r w:rsidRPr="00B24177">
        <w:rPr>
          <w:iCs/>
          <w:spacing w:val="-11"/>
        </w:rPr>
        <w:t xml:space="preserve"> </w:t>
      </w:r>
      <w:r w:rsidRPr="00B24177">
        <w:rPr>
          <w:iCs/>
        </w:rPr>
        <w:t>or</w:t>
      </w:r>
    </w:p>
    <w:p w:rsidR="00B24177" w:rsidRPr="00B24177" w:rsidRDefault="00B24177" w:rsidP="00B24177">
      <w:pPr>
        <w:pStyle w:val="ListParagraph"/>
        <w:numPr>
          <w:ilvl w:val="0"/>
          <w:numId w:val="1"/>
        </w:numPr>
        <w:tabs>
          <w:tab w:val="left" w:pos="840"/>
        </w:tabs>
        <w:kinsoku w:val="0"/>
        <w:overflowPunct w:val="0"/>
        <w:spacing w:line="293" w:lineRule="exact"/>
        <w:rPr>
          <w:iCs/>
        </w:rPr>
      </w:pPr>
      <w:proofErr w:type="gramStart"/>
      <w:r w:rsidRPr="00B24177">
        <w:rPr>
          <w:iCs/>
        </w:rPr>
        <w:t>other</w:t>
      </w:r>
      <w:proofErr w:type="gramEnd"/>
      <w:r w:rsidRPr="00B24177">
        <w:rPr>
          <w:iCs/>
        </w:rPr>
        <w:t xml:space="preserve"> serious harm that creates life-threatening</w:t>
      </w:r>
      <w:r w:rsidRPr="00B24177">
        <w:rPr>
          <w:iCs/>
          <w:spacing w:val="-13"/>
        </w:rPr>
        <w:t xml:space="preserve"> </w:t>
      </w:r>
      <w:r w:rsidRPr="00B24177">
        <w:rPr>
          <w:iCs/>
        </w:rPr>
        <w:t>complications/conditions.</w:t>
      </w:r>
    </w:p>
    <w:p w:rsidR="00B24177" w:rsidRPr="00B24177" w:rsidRDefault="00B24177" w:rsidP="00B24177">
      <w:pPr>
        <w:pStyle w:val="BodyText"/>
        <w:kinsoku w:val="0"/>
        <w:overflowPunct w:val="0"/>
        <w:spacing w:before="4"/>
        <w:rPr>
          <w:i w:val="0"/>
          <w:sz w:val="16"/>
          <w:szCs w:val="16"/>
        </w:rPr>
      </w:pPr>
    </w:p>
    <w:p w:rsidR="00B24177" w:rsidRPr="00B24177" w:rsidRDefault="00B24177" w:rsidP="00B24177">
      <w:pPr>
        <w:pStyle w:val="Heading2"/>
        <w:kinsoku w:val="0"/>
        <w:overflowPunct w:val="0"/>
        <w:spacing w:before="90"/>
        <w:ind w:left="480" w:right="306"/>
        <w:rPr>
          <w:i w:val="0"/>
        </w:rPr>
      </w:pPr>
      <w:r w:rsidRPr="00B24177">
        <w:rPr>
          <w:i w:val="0"/>
        </w:rPr>
        <w:t>*NOTE: IJ does not require serious injury, harm, impairment or death to occur. It is sufficient that non-compliance makes serious injury, harm, impairment or death likely to occur to one or more recipients.</w:t>
      </w:r>
    </w:p>
    <w:p w:rsidR="00B24177" w:rsidRPr="00B24177" w:rsidRDefault="00B24177" w:rsidP="00B24177">
      <w:pPr>
        <w:pStyle w:val="Heading2"/>
        <w:kinsoku w:val="0"/>
        <w:overflowPunct w:val="0"/>
        <w:spacing w:before="90"/>
        <w:ind w:left="480" w:right="306"/>
        <w:rPr>
          <w:i w:val="0"/>
        </w:rPr>
        <w:sectPr w:rsidR="00B24177" w:rsidRPr="00B24177">
          <w:pgSz w:w="12240" w:h="15840"/>
          <w:pgMar w:top="1140" w:right="960" w:bottom="280" w:left="1680" w:header="720" w:footer="720" w:gutter="0"/>
          <w:cols w:space="720" w:equalWidth="0">
            <w:col w:w="9600"/>
          </w:cols>
          <w:noEndnote/>
        </w:sectPr>
      </w:pPr>
    </w:p>
    <w:p w:rsidR="00B24177" w:rsidRPr="00125A38" w:rsidRDefault="00B24177" w:rsidP="00B24177">
      <w:pPr>
        <w:pStyle w:val="Heading3"/>
        <w:tabs>
          <w:tab w:val="left" w:pos="9887"/>
        </w:tabs>
        <w:kinsoku w:val="0"/>
        <w:overflowPunct w:val="0"/>
        <w:spacing w:before="79"/>
        <w:ind w:left="-270" w:right="-540"/>
        <w:jc w:val="left"/>
      </w:pPr>
      <w:r w:rsidRPr="00125A38">
        <w:lastRenderedPageBreak/>
        <w:t xml:space="preserve">Date/Time </w:t>
      </w:r>
      <w:r w:rsidRPr="00125A38">
        <w:rPr>
          <w:spacing w:val="-3"/>
        </w:rPr>
        <w:t xml:space="preserve">IJ </w:t>
      </w:r>
      <w:r w:rsidRPr="00125A38">
        <w:t>Template provided to</w:t>
      </w:r>
      <w:r w:rsidRPr="00125A38">
        <w:rPr>
          <w:spacing w:val="-7"/>
        </w:rPr>
        <w:t xml:space="preserve"> </w:t>
      </w:r>
      <w:r w:rsidRPr="00125A38">
        <w:t xml:space="preserve">entity: </w:t>
      </w:r>
      <w:r w:rsidRPr="00125A38">
        <w:rPr>
          <w:u w:val="single" w:color="FE0000"/>
        </w:rPr>
        <w:t xml:space="preserve"> </w:t>
      </w:r>
      <w:r>
        <w:rPr>
          <w:u w:val="single" w:color="FE0000"/>
        </w:rPr>
        <w:t>---------------------------------------------------------------------------</w:t>
      </w:r>
    </w:p>
    <w:tbl>
      <w:tblPr>
        <w:tblW w:w="10349" w:type="dxa"/>
        <w:tblInd w:w="-275" w:type="dxa"/>
        <w:tblLayout w:type="fixed"/>
        <w:tblCellMar>
          <w:left w:w="0" w:type="dxa"/>
          <w:right w:w="0" w:type="dxa"/>
        </w:tblCellMar>
        <w:tblLook w:val="0000" w:firstRow="0" w:lastRow="0" w:firstColumn="0" w:lastColumn="0" w:noHBand="0" w:noVBand="0"/>
      </w:tblPr>
      <w:tblGrid>
        <w:gridCol w:w="4575"/>
        <w:gridCol w:w="950"/>
        <w:gridCol w:w="4824"/>
      </w:tblGrid>
      <w:tr w:rsidR="00B24177" w:rsidRPr="00125A38" w:rsidTr="00B24177">
        <w:tblPrEx>
          <w:tblCellMar>
            <w:top w:w="0" w:type="dxa"/>
            <w:left w:w="0" w:type="dxa"/>
            <w:bottom w:w="0" w:type="dxa"/>
            <w:right w:w="0" w:type="dxa"/>
          </w:tblCellMar>
        </w:tblPrEx>
        <w:trPr>
          <w:trHeight w:hRule="exact" w:val="516"/>
        </w:trPr>
        <w:tc>
          <w:tcPr>
            <w:tcW w:w="4575" w:type="dxa"/>
            <w:tcBorders>
              <w:top w:val="single" w:sz="4" w:space="0" w:color="000000"/>
              <w:left w:val="single" w:sz="4" w:space="0" w:color="000000"/>
              <w:bottom w:val="single" w:sz="4" w:space="0" w:color="000000"/>
              <w:right w:val="single" w:sz="4" w:space="0" w:color="000000"/>
            </w:tcBorders>
            <w:shd w:val="clear" w:color="auto" w:fill="FFC000"/>
          </w:tcPr>
          <w:p w:rsidR="00B24177" w:rsidRPr="00125A38" w:rsidRDefault="00B24177" w:rsidP="00952936">
            <w:pPr>
              <w:pStyle w:val="TableParagraph"/>
              <w:kinsoku w:val="0"/>
              <w:overflowPunct w:val="0"/>
              <w:spacing w:line="252" w:lineRule="exact"/>
            </w:pPr>
            <w:r w:rsidRPr="00125A38">
              <w:rPr>
                <w:b/>
                <w:bCs/>
                <w:sz w:val="22"/>
                <w:szCs w:val="22"/>
              </w:rPr>
              <w:t>IJ Component</w:t>
            </w:r>
          </w:p>
        </w:tc>
        <w:tc>
          <w:tcPr>
            <w:tcW w:w="950" w:type="dxa"/>
            <w:tcBorders>
              <w:top w:val="single" w:sz="4" w:space="0" w:color="000000"/>
              <w:left w:val="single" w:sz="4" w:space="0" w:color="000000"/>
              <w:bottom w:val="single" w:sz="4" w:space="0" w:color="000000"/>
              <w:right w:val="single" w:sz="4" w:space="0" w:color="000000"/>
            </w:tcBorders>
            <w:shd w:val="clear" w:color="auto" w:fill="FFC000"/>
          </w:tcPr>
          <w:p w:rsidR="00B24177" w:rsidRPr="00125A38" w:rsidRDefault="00B24177" w:rsidP="00952936">
            <w:pPr>
              <w:pStyle w:val="TableParagraph"/>
              <w:kinsoku w:val="0"/>
              <w:overflowPunct w:val="0"/>
              <w:spacing w:line="252" w:lineRule="exact"/>
            </w:pPr>
            <w:r w:rsidRPr="00125A38">
              <w:rPr>
                <w:b/>
                <w:bCs/>
                <w:sz w:val="22"/>
                <w:szCs w:val="22"/>
              </w:rPr>
              <w:t>Yes/No</w:t>
            </w:r>
          </w:p>
        </w:tc>
        <w:tc>
          <w:tcPr>
            <w:tcW w:w="4824" w:type="dxa"/>
            <w:tcBorders>
              <w:top w:val="single" w:sz="4" w:space="0" w:color="000000"/>
              <w:left w:val="single" w:sz="4" w:space="0" w:color="000000"/>
              <w:bottom w:val="single" w:sz="4" w:space="0" w:color="000000"/>
              <w:right w:val="single" w:sz="4" w:space="0" w:color="000000"/>
            </w:tcBorders>
            <w:shd w:val="clear" w:color="auto" w:fill="FFC000"/>
          </w:tcPr>
          <w:p w:rsidR="00B24177" w:rsidRDefault="00B24177" w:rsidP="00952936">
            <w:pPr>
              <w:pStyle w:val="TableParagraph"/>
              <w:kinsoku w:val="0"/>
              <w:overflowPunct w:val="0"/>
              <w:ind w:right="-20"/>
              <w:rPr>
                <w:b/>
                <w:bCs/>
                <w:sz w:val="22"/>
                <w:szCs w:val="22"/>
              </w:rPr>
            </w:pPr>
            <w:r w:rsidRPr="00125A38">
              <w:rPr>
                <w:b/>
                <w:bCs/>
                <w:sz w:val="22"/>
                <w:szCs w:val="22"/>
              </w:rPr>
              <w:t xml:space="preserve">Preliminary fact analysis which demonstrates </w:t>
            </w:r>
          </w:p>
          <w:p w:rsidR="00B24177" w:rsidRPr="00125A38" w:rsidRDefault="00B24177" w:rsidP="00952936">
            <w:pPr>
              <w:pStyle w:val="TableParagraph"/>
              <w:kinsoku w:val="0"/>
              <w:overflowPunct w:val="0"/>
              <w:ind w:right="-20"/>
            </w:pPr>
            <w:r w:rsidRPr="00125A38">
              <w:rPr>
                <w:b/>
                <w:bCs/>
                <w:sz w:val="22"/>
                <w:szCs w:val="22"/>
              </w:rPr>
              <w:t>wh</w:t>
            </w:r>
            <w:bookmarkStart w:id="0" w:name="_GoBack"/>
            <w:bookmarkEnd w:id="0"/>
            <w:r w:rsidRPr="00125A38">
              <w:rPr>
                <w:b/>
                <w:bCs/>
                <w:sz w:val="22"/>
                <w:szCs w:val="22"/>
              </w:rPr>
              <w:t>e</w:t>
            </w:r>
            <w:r>
              <w:rPr>
                <w:b/>
                <w:bCs/>
                <w:sz w:val="22"/>
                <w:szCs w:val="22"/>
              </w:rPr>
              <w:t>n</w:t>
            </w:r>
            <w:r w:rsidRPr="00125A38">
              <w:rPr>
                <w:b/>
                <w:bCs/>
                <w:sz w:val="22"/>
                <w:szCs w:val="22"/>
              </w:rPr>
              <w:t xml:space="preserve"> key component</w:t>
            </w:r>
            <w:r w:rsidRPr="00125A38">
              <w:rPr>
                <w:b/>
                <w:bCs/>
                <w:spacing w:val="-6"/>
                <w:sz w:val="22"/>
                <w:szCs w:val="22"/>
              </w:rPr>
              <w:t xml:space="preserve"> </w:t>
            </w:r>
            <w:r w:rsidRPr="00125A38">
              <w:rPr>
                <w:b/>
                <w:bCs/>
                <w:sz w:val="22"/>
                <w:szCs w:val="22"/>
              </w:rPr>
              <w:t>exists.</w:t>
            </w:r>
          </w:p>
        </w:tc>
      </w:tr>
      <w:tr w:rsidR="00B24177" w:rsidRPr="00125A38" w:rsidTr="00B24177">
        <w:tblPrEx>
          <w:tblCellMar>
            <w:top w:w="0" w:type="dxa"/>
            <w:left w:w="0" w:type="dxa"/>
            <w:bottom w:w="0" w:type="dxa"/>
            <w:right w:w="0" w:type="dxa"/>
          </w:tblCellMar>
        </w:tblPrEx>
        <w:trPr>
          <w:trHeight w:hRule="exact" w:val="3806"/>
        </w:trPr>
        <w:tc>
          <w:tcPr>
            <w:tcW w:w="4575" w:type="dxa"/>
            <w:tcBorders>
              <w:top w:val="single" w:sz="4" w:space="0" w:color="000000"/>
              <w:left w:val="single" w:sz="4" w:space="0" w:color="000000"/>
              <w:bottom w:val="single" w:sz="4" w:space="0" w:color="000000"/>
              <w:right w:val="single" w:sz="4" w:space="0" w:color="000000"/>
            </w:tcBorders>
          </w:tcPr>
          <w:p w:rsidR="00B24177" w:rsidRPr="00125A38" w:rsidRDefault="00B24177" w:rsidP="00952936">
            <w:pPr>
              <w:pStyle w:val="TableParagraph"/>
              <w:kinsoku w:val="0"/>
              <w:overflowPunct w:val="0"/>
              <w:ind w:right="147"/>
              <w:rPr>
                <w:sz w:val="22"/>
                <w:szCs w:val="22"/>
              </w:rPr>
            </w:pPr>
            <w:r w:rsidRPr="00125A38">
              <w:rPr>
                <w:b/>
                <w:bCs/>
                <w:sz w:val="22"/>
                <w:szCs w:val="22"/>
              </w:rPr>
              <w:t xml:space="preserve">Noncompliance: </w:t>
            </w:r>
            <w:r w:rsidRPr="00125A38">
              <w:rPr>
                <w:sz w:val="22"/>
                <w:szCs w:val="22"/>
              </w:rPr>
              <w:t>Has the entity failed to meet one or more federal health, safety, and/or quality regulations?</w:t>
            </w:r>
          </w:p>
          <w:p w:rsidR="00B24177" w:rsidRPr="00125A38" w:rsidRDefault="00B24177" w:rsidP="00952936">
            <w:pPr>
              <w:pStyle w:val="TableParagraph"/>
              <w:kinsoku w:val="0"/>
              <w:overflowPunct w:val="0"/>
              <w:spacing w:before="4"/>
              <w:ind w:left="0"/>
              <w:rPr>
                <w:sz w:val="22"/>
                <w:szCs w:val="22"/>
              </w:rPr>
            </w:pPr>
          </w:p>
          <w:p w:rsidR="00B24177" w:rsidRPr="00125A38" w:rsidRDefault="00B24177" w:rsidP="00952936">
            <w:pPr>
              <w:pStyle w:val="TableParagraph"/>
              <w:kinsoku w:val="0"/>
              <w:overflowPunct w:val="0"/>
              <w:ind w:right="13"/>
            </w:pPr>
            <w:r w:rsidRPr="00125A38">
              <w:rPr>
                <w:sz w:val="22"/>
                <w:szCs w:val="22"/>
              </w:rPr>
              <w:t>If yes, in the blank space, identify the tag and briefly summarize the issues that lead to the determination that the entity is in noncompliance with the identified requirement. This includes the action(s), error(s), or lack of action, and the extent of the noncompliance (for example, number of cases). Use one IJ template for each tag being considered at IJ level.</w:t>
            </w:r>
          </w:p>
        </w:tc>
        <w:tc>
          <w:tcPr>
            <w:tcW w:w="950" w:type="dxa"/>
            <w:tcBorders>
              <w:top w:val="single" w:sz="4" w:space="0" w:color="000000"/>
              <w:left w:val="single" w:sz="4" w:space="0" w:color="000000"/>
              <w:bottom w:val="single" w:sz="4" w:space="0" w:color="000000"/>
              <w:right w:val="single" w:sz="4" w:space="0" w:color="000000"/>
            </w:tcBorders>
          </w:tcPr>
          <w:p w:rsidR="00B24177" w:rsidRPr="00125A38" w:rsidRDefault="00B24177" w:rsidP="00952936">
            <w:pPr>
              <w:pStyle w:val="TableParagraph"/>
              <w:kinsoku w:val="0"/>
              <w:overflowPunct w:val="0"/>
              <w:spacing w:line="247" w:lineRule="exact"/>
            </w:pPr>
            <w:r w:rsidRPr="00125A38">
              <w:rPr>
                <w:sz w:val="22"/>
                <w:szCs w:val="22"/>
              </w:rPr>
              <w:t>Yes/No</w:t>
            </w:r>
          </w:p>
        </w:tc>
        <w:tc>
          <w:tcPr>
            <w:tcW w:w="4824" w:type="dxa"/>
            <w:tcBorders>
              <w:top w:val="single" w:sz="4" w:space="0" w:color="000000"/>
              <w:left w:val="single" w:sz="4" w:space="0" w:color="000000"/>
              <w:bottom w:val="single" w:sz="4" w:space="0" w:color="000000"/>
              <w:right w:val="single" w:sz="4" w:space="0" w:color="000000"/>
            </w:tcBorders>
          </w:tcPr>
          <w:p w:rsidR="00B24177" w:rsidRPr="00125A38" w:rsidRDefault="00B24177" w:rsidP="00952936"/>
        </w:tc>
      </w:tr>
      <w:tr w:rsidR="00B24177" w:rsidRPr="00125A38" w:rsidTr="00B24177">
        <w:tblPrEx>
          <w:tblCellMar>
            <w:top w:w="0" w:type="dxa"/>
            <w:left w:w="0" w:type="dxa"/>
            <w:bottom w:w="0" w:type="dxa"/>
            <w:right w:w="0" w:type="dxa"/>
          </w:tblCellMar>
        </w:tblPrEx>
        <w:trPr>
          <w:trHeight w:hRule="exact" w:val="262"/>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9CC2E5"/>
          </w:tcPr>
          <w:p w:rsidR="00B24177" w:rsidRPr="00125A38" w:rsidRDefault="00B24177" w:rsidP="00952936">
            <w:pPr>
              <w:pStyle w:val="TableParagraph"/>
              <w:kinsoku w:val="0"/>
              <w:overflowPunct w:val="0"/>
              <w:spacing w:line="252" w:lineRule="exact"/>
              <w:ind w:left="5268" w:right="4554"/>
              <w:jc w:val="center"/>
            </w:pPr>
            <w:r w:rsidRPr="00125A38">
              <w:rPr>
                <w:b/>
                <w:bCs/>
                <w:sz w:val="22"/>
                <w:szCs w:val="22"/>
              </w:rPr>
              <w:t>AND</w:t>
            </w:r>
          </w:p>
        </w:tc>
      </w:tr>
      <w:tr w:rsidR="00B24177" w:rsidRPr="00125A38" w:rsidTr="00B24177">
        <w:tblPrEx>
          <w:tblCellMar>
            <w:top w:w="0" w:type="dxa"/>
            <w:left w:w="0" w:type="dxa"/>
            <w:bottom w:w="0" w:type="dxa"/>
            <w:right w:w="0" w:type="dxa"/>
          </w:tblCellMar>
        </w:tblPrEx>
        <w:trPr>
          <w:trHeight w:hRule="exact" w:val="3961"/>
        </w:trPr>
        <w:tc>
          <w:tcPr>
            <w:tcW w:w="4575" w:type="dxa"/>
            <w:tcBorders>
              <w:top w:val="single" w:sz="4" w:space="0" w:color="000000"/>
              <w:left w:val="single" w:sz="4" w:space="0" w:color="000000"/>
              <w:bottom w:val="single" w:sz="4" w:space="0" w:color="000000"/>
              <w:right w:val="single" w:sz="4" w:space="0" w:color="000000"/>
            </w:tcBorders>
          </w:tcPr>
          <w:p w:rsidR="00B24177" w:rsidRPr="00125A38" w:rsidRDefault="00B24177" w:rsidP="00952936">
            <w:pPr>
              <w:pStyle w:val="TableParagraph"/>
              <w:kinsoku w:val="0"/>
              <w:overflowPunct w:val="0"/>
              <w:spacing w:before="1"/>
              <w:ind w:right="995"/>
              <w:rPr>
                <w:b/>
                <w:bCs/>
                <w:sz w:val="22"/>
                <w:szCs w:val="22"/>
              </w:rPr>
            </w:pPr>
            <w:r w:rsidRPr="00125A38">
              <w:rPr>
                <w:b/>
                <w:bCs/>
                <w:sz w:val="22"/>
                <w:szCs w:val="22"/>
              </w:rPr>
              <w:t>Serious injury, serious harm, serious impairment or death:</w:t>
            </w:r>
          </w:p>
          <w:p w:rsidR="00B24177" w:rsidRPr="00125A38" w:rsidRDefault="00B24177" w:rsidP="00952936">
            <w:pPr>
              <w:pStyle w:val="TableParagraph"/>
              <w:kinsoku w:val="0"/>
              <w:overflowPunct w:val="0"/>
              <w:ind w:right="213"/>
              <w:jc w:val="both"/>
              <w:rPr>
                <w:sz w:val="22"/>
                <w:szCs w:val="22"/>
              </w:rPr>
            </w:pPr>
            <w:r w:rsidRPr="00125A38">
              <w:rPr>
                <w:sz w:val="22"/>
                <w:szCs w:val="22"/>
              </w:rPr>
              <w:t>Is there evidence that a serious adverse outcome occurred, or a serious adverse outcome is likely as a result of the identified noncompliance?</w:t>
            </w:r>
          </w:p>
          <w:p w:rsidR="00B24177" w:rsidRPr="00125A38" w:rsidRDefault="00B24177" w:rsidP="00952936">
            <w:pPr>
              <w:pStyle w:val="TableParagraph"/>
              <w:kinsoku w:val="0"/>
              <w:overflowPunct w:val="0"/>
              <w:spacing w:before="6"/>
              <w:ind w:left="0"/>
              <w:rPr>
                <w:sz w:val="22"/>
                <w:szCs w:val="22"/>
              </w:rPr>
            </w:pPr>
          </w:p>
          <w:p w:rsidR="00B24177" w:rsidRPr="00125A38" w:rsidRDefault="00B24177" w:rsidP="00952936">
            <w:pPr>
              <w:pStyle w:val="TableParagraph"/>
              <w:kinsoku w:val="0"/>
              <w:overflowPunct w:val="0"/>
              <w:ind w:right="24"/>
            </w:pPr>
            <w:r w:rsidRPr="00125A38">
              <w:rPr>
                <w:sz w:val="22"/>
                <w:szCs w:val="22"/>
              </w:rPr>
              <w:t>If Yes, in the blank space, briefly summarize the serious adverse outcome, or likely serious adverse outcome to the recipient.</w:t>
            </w:r>
          </w:p>
        </w:tc>
        <w:tc>
          <w:tcPr>
            <w:tcW w:w="950" w:type="dxa"/>
            <w:tcBorders>
              <w:top w:val="single" w:sz="4" w:space="0" w:color="000000"/>
              <w:left w:val="single" w:sz="4" w:space="0" w:color="000000"/>
              <w:bottom w:val="single" w:sz="4" w:space="0" w:color="000000"/>
              <w:right w:val="single" w:sz="4" w:space="0" w:color="000000"/>
            </w:tcBorders>
          </w:tcPr>
          <w:p w:rsidR="00B24177" w:rsidRPr="00125A38" w:rsidRDefault="00B24177" w:rsidP="00952936">
            <w:pPr>
              <w:pStyle w:val="TableParagraph"/>
              <w:kinsoku w:val="0"/>
              <w:overflowPunct w:val="0"/>
              <w:spacing w:line="249" w:lineRule="exact"/>
            </w:pPr>
            <w:r w:rsidRPr="00125A38">
              <w:rPr>
                <w:sz w:val="22"/>
                <w:szCs w:val="22"/>
              </w:rPr>
              <w:t>Yes/No</w:t>
            </w:r>
          </w:p>
        </w:tc>
        <w:tc>
          <w:tcPr>
            <w:tcW w:w="4824" w:type="dxa"/>
            <w:tcBorders>
              <w:top w:val="single" w:sz="4" w:space="0" w:color="000000"/>
              <w:left w:val="single" w:sz="4" w:space="0" w:color="000000"/>
              <w:bottom w:val="single" w:sz="4" w:space="0" w:color="000000"/>
              <w:right w:val="single" w:sz="4" w:space="0" w:color="000000"/>
            </w:tcBorders>
          </w:tcPr>
          <w:p w:rsidR="00B24177" w:rsidRPr="00125A38" w:rsidRDefault="00B24177" w:rsidP="00952936"/>
        </w:tc>
      </w:tr>
      <w:tr w:rsidR="00B24177" w:rsidRPr="00125A38" w:rsidTr="00B24177">
        <w:tblPrEx>
          <w:tblCellMar>
            <w:top w:w="0" w:type="dxa"/>
            <w:left w:w="0" w:type="dxa"/>
            <w:bottom w:w="0" w:type="dxa"/>
            <w:right w:w="0" w:type="dxa"/>
          </w:tblCellMar>
        </w:tblPrEx>
        <w:trPr>
          <w:trHeight w:hRule="exact" w:val="263"/>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9CC2E5"/>
          </w:tcPr>
          <w:p w:rsidR="00B24177" w:rsidRPr="00125A38" w:rsidRDefault="00B24177" w:rsidP="00952936">
            <w:pPr>
              <w:pStyle w:val="TableParagraph"/>
              <w:kinsoku w:val="0"/>
              <w:overflowPunct w:val="0"/>
              <w:ind w:left="5268" w:right="4554"/>
              <w:jc w:val="center"/>
            </w:pPr>
            <w:r w:rsidRPr="00125A38">
              <w:rPr>
                <w:b/>
                <w:bCs/>
                <w:sz w:val="22"/>
                <w:szCs w:val="22"/>
              </w:rPr>
              <w:t>AND</w:t>
            </w:r>
          </w:p>
        </w:tc>
      </w:tr>
      <w:tr w:rsidR="00B24177" w:rsidRPr="00125A38" w:rsidTr="00B24177">
        <w:tblPrEx>
          <w:tblCellMar>
            <w:top w:w="0" w:type="dxa"/>
            <w:left w:w="0" w:type="dxa"/>
            <w:bottom w:w="0" w:type="dxa"/>
            <w:right w:w="0" w:type="dxa"/>
          </w:tblCellMar>
        </w:tblPrEx>
        <w:trPr>
          <w:trHeight w:hRule="exact" w:val="3122"/>
        </w:trPr>
        <w:tc>
          <w:tcPr>
            <w:tcW w:w="4575" w:type="dxa"/>
            <w:tcBorders>
              <w:top w:val="single" w:sz="4" w:space="0" w:color="000000"/>
              <w:left w:val="single" w:sz="4" w:space="0" w:color="000000"/>
              <w:bottom w:val="single" w:sz="4" w:space="0" w:color="000000"/>
              <w:right w:val="single" w:sz="4" w:space="0" w:color="000000"/>
            </w:tcBorders>
          </w:tcPr>
          <w:p w:rsidR="00B24177" w:rsidRPr="00125A38" w:rsidRDefault="00B24177" w:rsidP="00952936">
            <w:pPr>
              <w:pStyle w:val="TableParagraph"/>
              <w:kinsoku w:val="0"/>
              <w:overflowPunct w:val="0"/>
              <w:spacing w:line="249" w:lineRule="exact"/>
              <w:rPr>
                <w:b/>
                <w:bCs/>
                <w:sz w:val="22"/>
                <w:szCs w:val="22"/>
              </w:rPr>
            </w:pPr>
            <w:r w:rsidRPr="00125A38">
              <w:rPr>
                <w:b/>
                <w:bCs/>
                <w:sz w:val="22"/>
                <w:szCs w:val="22"/>
              </w:rPr>
              <w:t>Need for Immediate Action:</w:t>
            </w:r>
          </w:p>
          <w:p w:rsidR="00B24177" w:rsidRPr="00125A38" w:rsidRDefault="00B24177" w:rsidP="00952936">
            <w:pPr>
              <w:pStyle w:val="TableParagraph"/>
              <w:kinsoku w:val="0"/>
              <w:overflowPunct w:val="0"/>
              <w:ind w:right="49"/>
              <w:rPr>
                <w:sz w:val="22"/>
                <w:szCs w:val="22"/>
              </w:rPr>
            </w:pPr>
            <w:r w:rsidRPr="00125A38">
              <w:rPr>
                <w:sz w:val="22"/>
                <w:szCs w:val="22"/>
              </w:rPr>
              <w:t>Does the entity need to take immediate action to correct noncompliance that has caused or is likely to cause serious injury, serious harm, serious impairment, or death?</w:t>
            </w:r>
          </w:p>
          <w:p w:rsidR="00B24177" w:rsidRPr="00125A38" w:rsidRDefault="00B24177" w:rsidP="00952936">
            <w:pPr>
              <w:pStyle w:val="TableParagraph"/>
              <w:kinsoku w:val="0"/>
              <w:overflowPunct w:val="0"/>
              <w:spacing w:before="3"/>
              <w:ind w:left="0"/>
              <w:rPr>
                <w:sz w:val="22"/>
                <w:szCs w:val="22"/>
              </w:rPr>
            </w:pPr>
          </w:p>
          <w:p w:rsidR="00B24177" w:rsidRPr="00125A38" w:rsidRDefault="00B24177" w:rsidP="00952936">
            <w:pPr>
              <w:pStyle w:val="TableParagraph"/>
              <w:kinsoku w:val="0"/>
              <w:overflowPunct w:val="0"/>
            </w:pPr>
            <w:r w:rsidRPr="00125A38">
              <w:rPr>
                <w:sz w:val="22"/>
                <w:szCs w:val="22"/>
              </w:rPr>
              <w:t>If yes, in the blank space, briefly explain why.</w:t>
            </w:r>
          </w:p>
        </w:tc>
        <w:tc>
          <w:tcPr>
            <w:tcW w:w="950" w:type="dxa"/>
            <w:tcBorders>
              <w:top w:val="single" w:sz="4" w:space="0" w:color="000000"/>
              <w:left w:val="single" w:sz="4" w:space="0" w:color="000000"/>
              <w:bottom w:val="single" w:sz="4" w:space="0" w:color="000000"/>
              <w:right w:val="single" w:sz="4" w:space="0" w:color="000000"/>
            </w:tcBorders>
          </w:tcPr>
          <w:p w:rsidR="00B24177" w:rsidRPr="00125A38" w:rsidRDefault="00B24177" w:rsidP="00952936">
            <w:pPr>
              <w:pStyle w:val="TableParagraph"/>
              <w:kinsoku w:val="0"/>
              <w:overflowPunct w:val="0"/>
              <w:spacing w:line="247" w:lineRule="exact"/>
            </w:pPr>
            <w:r w:rsidRPr="00125A38">
              <w:rPr>
                <w:sz w:val="22"/>
                <w:szCs w:val="22"/>
              </w:rPr>
              <w:t>Yes/No</w:t>
            </w:r>
          </w:p>
        </w:tc>
        <w:tc>
          <w:tcPr>
            <w:tcW w:w="4824" w:type="dxa"/>
            <w:tcBorders>
              <w:top w:val="single" w:sz="4" w:space="0" w:color="000000"/>
              <w:left w:val="single" w:sz="4" w:space="0" w:color="000000"/>
              <w:bottom w:val="single" w:sz="4" w:space="0" w:color="000000"/>
              <w:right w:val="single" w:sz="4" w:space="0" w:color="000000"/>
            </w:tcBorders>
          </w:tcPr>
          <w:p w:rsidR="00B24177" w:rsidRPr="00125A38" w:rsidRDefault="00B24177" w:rsidP="00952936"/>
        </w:tc>
      </w:tr>
    </w:tbl>
    <w:p w:rsidR="00634C0E" w:rsidRDefault="00B24177" w:rsidP="00B24177">
      <w:pPr>
        <w:pStyle w:val="BodyText"/>
        <w:kinsoku w:val="0"/>
        <w:overflowPunct w:val="0"/>
        <w:ind w:left="270" w:right="197"/>
      </w:pPr>
      <w:bookmarkStart w:id="1" w:name="Disclaimer:  The findings on this IJ Tem"/>
      <w:bookmarkEnd w:id="1"/>
      <w:r w:rsidRPr="00125A38">
        <w:rPr>
          <w:i w:val="0"/>
          <w:iCs w:val="0"/>
          <w:sz w:val="20"/>
          <w:szCs w:val="20"/>
        </w:rPr>
        <w:t>Disclaimer: The findings on this IJ Template are preliminary and do not represent an official finding against a Medicare provider or supplier. Form CMS-2567 is the only form that contains official survey findings</w:t>
      </w:r>
      <w:r>
        <w:rPr>
          <w:i w:val="0"/>
          <w:iCs w:val="0"/>
          <w:sz w:val="20"/>
          <w:szCs w:val="20"/>
        </w:rPr>
        <w:t>.</w:t>
      </w:r>
    </w:p>
    <w:sectPr w:rsidR="00634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9"/>
    <w:multiLevelType w:val="multilevel"/>
    <w:tmpl w:val="A4D88798"/>
    <w:lvl w:ilvl="0">
      <w:start w:val="12"/>
      <w:numFmt w:val="upperRoman"/>
      <w:lvlText w:val="%1"/>
      <w:lvlJc w:val="left"/>
      <w:pPr>
        <w:ind w:left="120" w:hanging="257"/>
      </w:pPr>
      <w:rPr>
        <w:rFonts w:hint="default"/>
        <w:w w:val="100"/>
        <w:u w:val="thick" w:color="FF0000"/>
      </w:rPr>
    </w:lvl>
    <w:lvl w:ilvl="1">
      <w:start w:val="1"/>
      <w:numFmt w:val="decimal"/>
      <w:lvlText w:val="%2."/>
      <w:lvlJc w:val="left"/>
      <w:pPr>
        <w:ind w:left="820" w:hanging="360"/>
      </w:pPr>
      <w:rPr>
        <w:rFonts w:hint="default"/>
        <w:b w:val="0"/>
        <w:bCs w:val="0"/>
        <w:i/>
        <w:iCs/>
        <w:spacing w:val="-1"/>
        <w:w w:val="99"/>
      </w:rPr>
    </w:lvl>
    <w:lvl w:ilvl="2">
      <w:numFmt w:val="bullet"/>
      <w:lvlText w:val="-"/>
      <w:lvlJc w:val="left"/>
      <w:pPr>
        <w:ind w:left="1540" w:hanging="360"/>
      </w:pPr>
      <w:rPr>
        <w:rFonts w:ascii="Times New Roman" w:hAnsi="Times New Roman" w:cs="Times New Roman" w:hint="default"/>
        <w:b w:val="0"/>
        <w:bCs w:val="0"/>
        <w:color w:val="FF0000"/>
        <w:spacing w:val="-1"/>
        <w:w w:val="99"/>
        <w:sz w:val="24"/>
        <w:szCs w:val="24"/>
      </w:rPr>
    </w:lvl>
    <w:lvl w:ilvl="3">
      <w:numFmt w:val="bullet"/>
      <w:lvlText w:val="•"/>
      <w:lvlJc w:val="left"/>
      <w:pPr>
        <w:ind w:left="2535" w:hanging="360"/>
      </w:pPr>
      <w:rPr>
        <w:rFonts w:hint="default"/>
      </w:rPr>
    </w:lvl>
    <w:lvl w:ilvl="4">
      <w:numFmt w:val="bullet"/>
      <w:lvlText w:val="•"/>
      <w:lvlJc w:val="left"/>
      <w:pPr>
        <w:ind w:left="3530" w:hanging="360"/>
      </w:pPr>
      <w:rPr>
        <w:rFonts w:hint="default"/>
      </w:rPr>
    </w:lvl>
    <w:lvl w:ilvl="5">
      <w:numFmt w:val="bullet"/>
      <w:lvlText w:val="•"/>
      <w:lvlJc w:val="left"/>
      <w:pPr>
        <w:ind w:left="4525" w:hanging="360"/>
      </w:pPr>
      <w:rPr>
        <w:rFonts w:hint="default"/>
      </w:rPr>
    </w:lvl>
    <w:lvl w:ilvl="6">
      <w:numFmt w:val="bullet"/>
      <w:lvlText w:val="•"/>
      <w:lvlJc w:val="left"/>
      <w:pPr>
        <w:ind w:left="5520" w:hanging="360"/>
      </w:pPr>
      <w:rPr>
        <w:rFonts w:hint="default"/>
      </w:rPr>
    </w:lvl>
    <w:lvl w:ilvl="7">
      <w:numFmt w:val="bullet"/>
      <w:lvlText w:val="•"/>
      <w:lvlJc w:val="left"/>
      <w:pPr>
        <w:ind w:left="6515" w:hanging="360"/>
      </w:pPr>
      <w:rPr>
        <w:rFonts w:hint="default"/>
      </w:rPr>
    </w:lvl>
    <w:lvl w:ilvl="8">
      <w:numFmt w:val="bullet"/>
      <w:lvlText w:val="•"/>
      <w:lvlJc w:val="left"/>
      <w:pPr>
        <w:ind w:left="7510" w:hanging="360"/>
      </w:pPr>
      <w:rPr>
        <w:rFonts w:hint="default"/>
      </w:rPr>
    </w:lvl>
  </w:abstractNum>
  <w:abstractNum w:abstractNumId="1" w15:restartNumberingAfterBreak="0">
    <w:nsid w:val="0000040E"/>
    <w:multiLevelType w:val="multilevel"/>
    <w:tmpl w:val="24542456"/>
    <w:lvl w:ilvl="0">
      <w:start w:val="1"/>
      <w:numFmt w:val="bullet"/>
      <w:lvlText w:val=""/>
      <w:lvlJc w:val="left"/>
      <w:pPr>
        <w:ind w:left="900" w:hanging="360"/>
      </w:pPr>
      <w:rPr>
        <w:rFonts w:ascii="Symbol" w:hAnsi="Symbol" w:hint="default"/>
        <w:strike/>
        <w:w w:val="100"/>
      </w:rPr>
    </w:lvl>
    <w:lvl w:ilvl="1">
      <w:numFmt w:val="bullet"/>
      <w:lvlText w:val="•"/>
      <w:lvlJc w:val="left"/>
      <w:pPr>
        <w:ind w:left="1776" w:hanging="360"/>
      </w:pPr>
    </w:lvl>
    <w:lvl w:ilvl="2">
      <w:numFmt w:val="bullet"/>
      <w:lvlText w:val="•"/>
      <w:lvlJc w:val="left"/>
      <w:pPr>
        <w:ind w:left="2652" w:hanging="360"/>
      </w:pPr>
    </w:lvl>
    <w:lvl w:ilvl="3">
      <w:numFmt w:val="bullet"/>
      <w:lvlText w:val="•"/>
      <w:lvlJc w:val="left"/>
      <w:pPr>
        <w:ind w:left="3528" w:hanging="360"/>
      </w:pPr>
    </w:lvl>
    <w:lvl w:ilvl="4">
      <w:numFmt w:val="bullet"/>
      <w:lvlText w:val="•"/>
      <w:lvlJc w:val="left"/>
      <w:pPr>
        <w:ind w:left="4404" w:hanging="360"/>
      </w:pPr>
    </w:lvl>
    <w:lvl w:ilvl="5">
      <w:numFmt w:val="bullet"/>
      <w:lvlText w:val="•"/>
      <w:lvlJc w:val="left"/>
      <w:pPr>
        <w:ind w:left="5280" w:hanging="360"/>
      </w:pPr>
    </w:lvl>
    <w:lvl w:ilvl="6">
      <w:numFmt w:val="bullet"/>
      <w:lvlText w:val="•"/>
      <w:lvlJc w:val="left"/>
      <w:pPr>
        <w:ind w:left="6156" w:hanging="360"/>
      </w:pPr>
    </w:lvl>
    <w:lvl w:ilvl="7">
      <w:numFmt w:val="bullet"/>
      <w:lvlText w:val="•"/>
      <w:lvlJc w:val="left"/>
      <w:pPr>
        <w:ind w:left="7032" w:hanging="360"/>
      </w:pPr>
    </w:lvl>
    <w:lvl w:ilvl="8">
      <w:numFmt w:val="bullet"/>
      <w:lvlText w:val="•"/>
      <w:lvlJc w:val="left"/>
      <w:pPr>
        <w:ind w:left="790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77"/>
    <w:rsid w:val="00634C0E"/>
    <w:rsid w:val="007A79DF"/>
    <w:rsid w:val="00B24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B2005-1BDC-4E37-9ED5-F9A91887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417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B24177"/>
    <w:pPr>
      <w:ind w:left="120"/>
      <w:outlineLvl w:val="0"/>
    </w:pPr>
    <w:rPr>
      <w:b/>
      <w:bCs/>
      <w:i/>
      <w:iCs/>
      <w:sz w:val="28"/>
      <w:szCs w:val="28"/>
      <w:u w:val="single"/>
    </w:rPr>
  </w:style>
  <w:style w:type="paragraph" w:styleId="Heading2">
    <w:name w:val="heading 2"/>
    <w:basedOn w:val="Normal"/>
    <w:next w:val="Normal"/>
    <w:link w:val="Heading2Char"/>
    <w:uiPriority w:val="1"/>
    <w:qFormat/>
    <w:rsid w:val="00B24177"/>
    <w:pPr>
      <w:ind w:left="100"/>
      <w:outlineLvl w:val="1"/>
    </w:pPr>
    <w:rPr>
      <w:b/>
      <w:bCs/>
      <w:i/>
      <w:iCs/>
    </w:rPr>
  </w:style>
  <w:style w:type="paragraph" w:styleId="Heading3">
    <w:name w:val="heading 3"/>
    <w:basedOn w:val="Normal"/>
    <w:next w:val="Normal"/>
    <w:link w:val="Heading3Char"/>
    <w:uiPriority w:val="1"/>
    <w:qFormat/>
    <w:rsid w:val="00B24177"/>
    <w:pPr>
      <w:ind w:left="128"/>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4177"/>
    <w:rPr>
      <w:rFonts w:ascii="Times New Roman" w:eastAsiaTheme="minorEastAsia" w:hAnsi="Times New Roman" w:cs="Times New Roman"/>
      <w:b/>
      <w:bCs/>
      <w:i/>
      <w:iCs/>
      <w:sz w:val="28"/>
      <w:szCs w:val="28"/>
      <w:u w:val="single"/>
    </w:rPr>
  </w:style>
  <w:style w:type="character" w:customStyle="1" w:styleId="Heading2Char">
    <w:name w:val="Heading 2 Char"/>
    <w:basedOn w:val="DefaultParagraphFont"/>
    <w:link w:val="Heading2"/>
    <w:uiPriority w:val="1"/>
    <w:rsid w:val="00B24177"/>
    <w:rPr>
      <w:rFonts w:ascii="Times New Roman" w:eastAsiaTheme="minorEastAsia" w:hAnsi="Times New Roman" w:cs="Times New Roman"/>
      <w:b/>
      <w:bCs/>
      <w:i/>
      <w:iCs/>
      <w:sz w:val="24"/>
      <w:szCs w:val="24"/>
    </w:rPr>
  </w:style>
  <w:style w:type="character" w:customStyle="1" w:styleId="Heading3Char">
    <w:name w:val="Heading 3 Char"/>
    <w:basedOn w:val="DefaultParagraphFont"/>
    <w:link w:val="Heading3"/>
    <w:uiPriority w:val="1"/>
    <w:rsid w:val="00B24177"/>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B24177"/>
    <w:rPr>
      <w:i/>
      <w:iCs/>
    </w:rPr>
  </w:style>
  <w:style w:type="character" w:customStyle="1" w:styleId="BodyTextChar">
    <w:name w:val="Body Text Char"/>
    <w:basedOn w:val="DefaultParagraphFont"/>
    <w:link w:val="BodyText"/>
    <w:uiPriority w:val="1"/>
    <w:rsid w:val="00B24177"/>
    <w:rPr>
      <w:rFonts w:ascii="Times New Roman" w:eastAsiaTheme="minorEastAsia" w:hAnsi="Times New Roman" w:cs="Times New Roman"/>
      <w:i/>
      <w:iCs/>
      <w:sz w:val="24"/>
      <w:szCs w:val="24"/>
    </w:rPr>
  </w:style>
  <w:style w:type="paragraph" w:styleId="ListParagraph">
    <w:name w:val="List Paragraph"/>
    <w:basedOn w:val="Normal"/>
    <w:uiPriority w:val="1"/>
    <w:qFormat/>
    <w:rsid w:val="00B24177"/>
    <w:pPr>
      <w:ind w:left="840" w:hanging="360"/>
    </w:pPr>
  </w:style>
  <w:style w:type="paragraph" w:customStyle="1" w:styleId="TableParagraph">
    <w:name w:val="Table Paragraph"/>
    <w:basedOn w:val="Normal"/>
    <w:uiPriority w:val="1"/>
    <w:qFormat/>
    <w:rsid w:val="00B24177"/>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LYONS</dc:creator>
  <cp:keywords/>
  <dc:description/>
  <cp:lastModifiedBy>DEBRA LYONS</cp:lastModifiedBy>
  <cp:revision>2</cp:revision>
  <dcterms:created xsi:type="dcterms:W3CDTF">2019-03-07T12:56:00Z</dcterms:created>
  <dcterms:modified xsi:type="dcterms:W3CDTF">2019-03-07T13:06:00Z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1896815776</vt:i4>
  </property>
  <property fmtid="{D5CDD505-2E9C-101B-9397-08002B2CF9AE}" pid="3" name="_NewReviewCycle">
    <vt:lpwstr/>
  </property>
  <property fmtid="{D5CDD505-2E9C-101B-9397-08002B2CF9AE}" pid="4" name="_EmailSubject">
    <vt:lpwstr>files to add to Sureyor Resources zip</vt:lpwstr>
  </property>
  <property fmtid="{D5CDD505-2E9C-101B-9397-08002B2CF9AE}" pid="5" name="_AuthorEmail">
    <vt:lpwstr>Debra.Lyons@cms.hhs.gov</vt:lpwstr>
  </property>
  <property fmtid="{D5CDD505-2E9C-101B-9397-08002B2CF9AE}" pid="6" name="_AuthorEmailDisplayName">
    <vt:lpwstr>Lyons, Debra (CMS/CCSQ)</vt:lpwstr>
  </property>
  <property fmtid="{D5CDD505-2E9C-101B-9397-08002B2CF9AE}" pid="7" name="_PreviousAdHocReviewCycleID">
    <vt:i4>-1810564308</vt:i4>
  </property>
</Properties>
</file>